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bidi w:val="0"/>
        <w:jc w:val="both"/>
        <w:spacing w:after="0"/>
        <w:ind w:left="0" w:right="0"/>
        <w:tabs>
          <w:tab w:val="center" w:pos="0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  <w:t xml:space="preserve">Na temelju članka 18. Zakona o proračunu („Narodne novine“ broj 144/21) i članka 30. Statuta Općine Selnica („Službeni glasnik Međimurske županije“ broj 5/21 i 16/22), Općinsko vijeće Općine Selnica na 2. sjednici, održanoj 26. lipnja 2025. godine, donijelo je: </w:t>
      </w:r>
    </w:p>
    <w:p>
      <w:pPr>
        <w:widowControl w:val="1"/>
        <w:bidi w:val="0"/>
        <w:jc w:val="both"/>
        <w:spacing w:after="0"/>
        <w:ind w:left="0" w:right="0"/>
        <w:tabs>
          <w:tab w:val="center" w:pos="0" w:leader="none"/>
        </w:tabs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after="0"/>
        <w:ind w:left="0" w:right="0"/>
        <w:tabs>
          <w:tab w:val="center" w:pos="155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1559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1559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izmjeni i dopuni</w:t>
      </w: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0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Odluke o izvršavanju Proračuna Općine Selnica</w:t>
      </w: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0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2025. godinu</w:t>
      </w:r>
    </w:p>
    <w:p>
      <w:pPr>
        <w:widowControl w:val="1"/>
        <w:bidi w:val="0"/>
        <w:jc w:val="left"/>
        <w:spacing w:lineRule="auto" w:line="240" w:after="0"/>
        <w:ind w:left="0" w:right="0"/>
        <w:tabs>
          <w:tab w:val="center" w:pos="0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after="0"/>
        <w:ind w:left="0" w:right="0"/>
        <w:tabs>
          <w:tab w:val="center" w:pos="155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155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 w:after="0"/>
        <w:ind w:firstLine="709" w:left="0" w:right="0"/>
        <w:tabs>
          <w:tab w:val="center" w:pos="155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Odluci o izvršavanju Proračuna Općine Selnica („Službeni glasnik Međimurske županije“, broj 31/24) u članku 7. stavku 2. iznos 439.271,22 eura zamjenjuje se iznosom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667.417,56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ee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eura.</w:t>
      </w: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0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/>
        <w:ind w:left="0" w:right="0"/>
        <w:tabs>
          <w:tab w:val="center" w:pos="0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left"/>
        <w:spacing w:lineRule="auto" w:line="240" w:after="0"/>
        <w:ind w:firstLine="709" w:left="0" w:right="0"/>
        <w:tabs>
          <w:tab w:val="center" w:pos="155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Sve ostale odredbe Odluke ostaju nepromijenjene.</w:t>
      </w:r>
    </w:p>
    <w:p>
      <w:pPr>
        <w:widowControl w:val="1"/>
        <w:bidi w:val="0"/>
        <w:jc w:val="center"/>
        <w:spacing w:lineRule="auto" w:line="240" w:after="0"/>
        <w:ind w:firstLine="709" w:left="0" w:right="0"/>
        <w:tabs>
          <w:tab w:val="center" w:pos="1559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after="0"/>
        <w:ind w:left="0" w:right="0"/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after="0"/>
        <w:ind w:left="0" w:right="0"/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  <w:t xml:space="preserve">Ova Odluka stupa na snagu dan nakon objave u „Službenom glasniku Međimurske županije“.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  <w:tab/>
        <w:t xml:space="preserve">   </w:t>
      </w:r>
    </w:p>
    <w:p>
      <w:pPr>
        <w:widowControl w:val="1"/>
        <w:bidi w:val="0"/>
        <w:jc w:val="left"/>
        <w:spacing w:lineRule="auto" w:line="240" w:after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PĆINSKO VIJEĆE OPĆINE SELNICA</w:t>
      </w:r>
    </w:p>
    <w:p>
      <w:pPr>
        <w:widowControl w:val="1"/>
        <w:bidi w:val="0"/>
        <w:jc w:val="left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/>
        <w:ind w:firstLine="708" w:left="4248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PREDSJEDNIK</w:t>
      </w:r>
    </w:p>
    <w:p>
      <w:pPr>
        <w:widowControl w:val="1"/>
        <w:bidi w:val="0"/>
        <w:jc w:val="left"/>
        <w:spacing w:lineRule="auto" w:line="240" w:after="0"/>
        <w:ind w:firstLine="708" w:left="4248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   OPĆINSKOG VIJEČA</w:t>
      </w:r>
    </w:p>
    <w:p>
      <w:pPr>
        <w:widowControl w:val="1"/>
        <w:bidi w:val="0"/>
        <w:jc w:val="left"/>
        <w:spacing w:lineRule="auto" w:line="240" w:after="0"/>
        <w:ind w:firstLine="709" w:left="5672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Davor Debelec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>26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3">
    <w:name w:val="Body Text"/>
    <w:basedOn w:val="P0"/>
    <w:link w:val="P3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xl27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character" w:styleId="C3">
    <w:name w:val="Tijelo teksta Char"/>
    <w:basedOn w:val="C0"/>
    <w:link w:val="C3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_rels/header2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2025-06-27T10:02:30Z</dcterms:created>
  <dcterms:modified xsi:type="dcterms:W3CDTF">2025-06-27T10:02:30Z</dcterms:modified>
</cp:coreProperties>
</file>